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A131" w14:textId="77777777" w:rsidR="00AD327A" w:rsidRPr="000E1559" w:rsidRDefault="00AD327A" w:rsidP="00AD327A">
      <w:pPr>
        <w:spacing w:before="130" w:after="0" w:line="260" w:lineRule="exact"/>
        <w:jc w:val="right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3. pielikums</w:t>
      </w:r>
      <w:r w:rsidRPr="000E1559">
        <w:rPr>
          <w:rFonts w:ascii="Cambria" w:hAnsi="Cambria"/>
          <w:sz w:val="19"/>
          <w:szCs w:val="19"/>
        </w:rPr>
        <w:br/>
        <w:t>2022. gada 19. maija saistošajiem noteikumiem Nr. 15</w:t>
      </w:r>
      <w:r w:rsidRPr="000E1559">
        <w:rPr>
          <w:rFonts w:ascii="Cambria" w:hAnsi="Cambria"/>
          <w:sz w:val="19"/>
          <w:szCs w:val="19"/>
        </w:rPr>
        <w:br/>
        <w:t>"Par decentralizēto kanalizācijas pakalpojumu</w:t>
      </w:r>
      <w:r w:rsidRPr="000E1559">
        <w:rPr>
          <w:rFonts w:ascii="Cambria" w:hAnsi="Cambria"/>
          <w:sz w:val="19"/>
          <w:szCs w:val="19"/>
        </w:rPr>
        <w:br/>
      </w:r>
      <w:r w:rsidRPr="000E1559">
        <w:rPr>
          <w:rFonts w:ascii="Cambria" w:hAnsi="Cambria"/>
          <w:sz w:val="19"/>
          <w:szCs w:val="19"/>
          <w:lang w:eastAsia="lv-LV"/>
        </w:rPr>
        <w:t xml:space="preserve"> sniegšanas un uzskaites kārtību </w:t>
      </w:r>
      <w:proofErr w:type="spellStart"/>
      <w:r w:rsidRPr="000E1559">
        <w:rPr>
          <w:rFonts w:ascii="Cambria" w:hAnsi="Cambria"/>
          <w:sz w:val="19"/>
          <w:szCs w:val="19"/>
        </w:rPr>
        <w:t>Cēsu</w:t>
      </w:r>
      <w:proofErr w:type="spellEnd"/>
      <w:r w:rsidRPr="000E1559">
        <w:rPr>
          <w:rFonts w:ascii="Cambria" w:hAnsi="Cambria"/>
          <w:sz w:val="19"/>
          <w:szCs w:val="19"/>
        </w:rPr>
        <w:t xml:space="preserve"> novadā pilsētās un ciemos"</w:t>
      </w:r>
    </w:p>
    <w:p w14:paraId="2F0BA0B4" w14:textId="77777777" w:rsidR="00AD327A" w:rsidRDefault="00AD327A" w:rsidP="00AD327A">
      <w:pPr>
        <w:tabs>
          <w:tab w:val="left" w:pos="426"/>
        </w:tabs>
        <w:autoSpaceDE w:val="0"/>
        <w:autoSpaceDN w:val="0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0"/>
        <w:gridCol w:w="5190"/>
      </w:tblGrid>
      <w:tr w:rsidR="00AD327A" w:rsidRPr="000B2621" w14:paraId="1D917F2B" w14:textId="77777777" w:rsidTr="0081363D">
        <w:trPr>
          <w:cantSplit/>
          <w:trHeight w:val="227"/>
        </w:trPr>
        <w:tc>
          <w:tcPr>
            <w:tcW w:w="3856" w:type="dxa"/>
            <w:shd w:val="clear" w:color="auto" w:fill="auto"/>
            <w:vAlign w:val="center"/>
          </w:tcPr>
          <w:p w14:paraId="6C20F34D" w14:textId="77777777" w:rsidR="00AD327A" w:rsidRPr="000B2621" w:rsidRDefault="00AD327A" w:rsidP="0081363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2CFFA" w14:textId="77777777" w:rsidR="00AD327A" w:rsidRPr="000B2621" w:rsidRDefault="00AD327A" w:rsidP="0081363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AD327A" w:rsidRPr="000B2621" w14:paraId="434909CF" w14:textId="77777777" w:rsidTr="0081363D">
        <w:trPr>
          <w:cantSplit/>
        </w:trPr>
        <w:tc>
          <w:tcPr>
            <w:tcW w:w="3856" w:type="dxa"/>
            <w:shd w:val="clear" w:color="auto" w:fill="auto"/>
            <w:vAlign w:val="center"/>
          </w:tcPr>
          <w:p w14:paraId="71C843D3" w14:textId="77777777" w:rsidR="00AD327A" w:rsidRPr="000B2621" w:rsidRDefault="00AD327A" w:rsidP="0081363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auto"/>
          </w:tcPr>
          <w:p w14:paraId="2ADEE021" w14:textId="77777777" w:rsidR="00AD327A" w:rsidRPr="000B2621" w:rsidRDefault="00AD327A" w:rsidP="0081363D">
            <w:pPr>
              <w:spacing w:after="0" w:line="240" w:lineRule="auto"/>
              <w:jc w:val="right"/>
              <w:rPr>
                <w:rFonts w:ascii="Cambria" w:eastAsia="Times New Roman" w:hAnsi="Cambria"/>
                <w:sz w:val="17"/>
                <w:szCs w:val="17"/>
              </w:rPr>
            </w:pPr>
            <w:r w:rsidRPr="000B2621">
              <w:rPr>
                <w:rFonts w:ascii="Cambria" w:eastAsia="Times New Roman" w:hAnsi="Cambria"/>
                <w:sz w:val="17"/>
                <w:szCs w:val="17"/>
              </w:rPr>
              <w:t>(adresāts)</w:t>
            </w:r>
          </w:p>
        </w:tc>
      </w:tr>
      <w:tr w:rsidR="00AD327A" w:rsidRPr="000B2621" w14:paraId="073E7AB0" w14:textId="77777777" w:rsidTr="0081363D">
        <w:trPr>
          <w:cantSplit/>
          <w:trHeight w:val="227"/>
        </w:trPr>
        <w:tc>
          <w:tcPr>
            <w:tcW w:w="3856" w:type="dxa"/>
            <w:shd w:val="clear" w:color="auto" w:fill="auto"/>
            <w:vAlign w:val="center"/>
          </w:tcPr>
          <w:p w14:paraId="640A3066" w14:textId="77777777" w:rsidR="00AD327A" w:rsidRPr="000B2621" w:rsidRDefault="00AD327A" w:rsidP="0081363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FAFF7" w14:textId="77777777" w:rsidR="00AD327A" w:rsidRPr="000B2621" w:rsidRDefault="00AD327A" w:rsidP="0081363D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</w:tbl>
    <w:p w14:paraId="02F57168" w14:textId="77777777" w:rsidR="00AD327A" w:rsidRPr="000E1559" w:rsidRDefault="00AD327A" w:rsidP="00AD327A">
      <w:pPr>
        <w:tabs>
          <w:tab w:val="left" w:pos="426"/>
        </w:tabs>
        <w:autoSpaceDE w:val="0"/>
        <w:autoSpaceDN w:val="0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</w:p>
    <w:p w14:paraId="1D0C507D" w14:textId="77777777" w:rsidR="00AD327A" w:rsidRPr="00DA6196" w:rsidRDefault="00AD327A" w:rsidP="00AD327A">
      <w:pPr>
        <w:spacing w:before="360" w:after="0" w:line="240" w:lineRule="auto"/>
        <w:ind w:left="567" w:right="567"/>
        <w:jc w:val="center"/>
        <w:rPr>
          <w:rFonts w:ascii="Cambria" w:hAnsi="Cambria"/>
          <w:szCs w:val="19"/>
        </w:rPr>
      </w:pPr>
      <w:r w:rsidRPr="00DA6196">
        <w:rPr>
          <w:rFonts w:ascii="Cambria" w:hAnsi="Cambria"/>
          <w:szCs w:val="19"/>
        </w:rPr>
        <w:t>DECENTRALIZĒTĀS KANALIZĀCIJAS SISTĒMAS</w:t>
      </w:r>
    </w:p>
    <w:p w14:paraId="7C789D9B" w14:textId="77777777" w:rsidR="00AD327A" w:rsidRPr="00DA6196" w:rsidRDefault="00AD327A" w:rsidP="00AD327A">
      <w:pPr>
        <w:spacing w:before="360" w:after="0" w:line="240" w:lineRule="auto"/>
        <w:ind w:left="567" w:right="567"/>
        <w:jc w:val="center"/>
        <w:rPr>
          <w:rFonts w:ascii="Cambria" w:hAnsi="Cambria"/>
          <w:szCs w:val="19"/>
        </w:rPr>
      </w:pPr>
      <w:r w:rsidRPr="00DA6196">
        <w:rPr>
          <w:rFonts w:ascii="Cambria" w:hAnsi="Cambria"/>
          <w:szCs w:val="19"/>
        </w:rPr>
        <w:t>REĢISTRĀCIJAS IESNIEGUMS (APLIECINĀJUMS)</w:t>
      </w:r>
    </w:p>
    <w:p w14:paraId="3A433E1E" w14:textId="77777777" w:rsidR="00AD327A" w:rsidRPr="000E1559" w:rsidRDefault="00AD327A" w:rsidP="00AD327A">
      <w:pPr>
        <w:tabs>
          <w:tab w:val="left" w:pos="426"/>
        </w:tabs>
        <w:autoSpaceDE w:val="0"/>
        <w:autoSpaceDN w:val="0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</w:p>
    <w:p w14:paraId="40B2D3A6" w14:textId="77777777" w:rsidR="00AD327A" w:rsidRPr="000E1559" w:rsidRDefault="00AD327A" w:rsidP="00AD327A">
      <w:pPr>
        <w:pStyle w:val="Sarakstarindkopa"/>
        <w:spacing w:before="130" w:line="260" w:lineRule="exact"/>
        <w:ind w:left="0"/>
        <w:contextualSpacing w:val="0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 xml:space="preserve">1. </w:t>
      </w:r>
      <w:proofErr w:type="spellStart"/>
      <w:r w:rsidRPr="000E1559">
        <w:rPr>
          <w:rFonts w:ascii="Cambria" w:hAnsi="Cambria"/>
          <w:sz w:val="19"/>
          <w:szCs w:val="19"/>
        </w:rPr>
        <w:t>Objekta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adrese</w:t>
      </w:r>
      <w:proofErr w:type="spellEnd"/>
      <w:r w:rsidRPr="000E1559">
        <w:rPr>
          <w:rFonts w:ascii="Cambria" w:hAnsi="Cambria"/>
          <w:sz w:val="19"/>
          <w:szCs w:val="19"/>
        </w:rPr>
        <w:t xml:space="preserve"> _________________________________________________</w:t>
      </w:r>
    </w:p>
    <w:p w14:paraId="276E5D79" w14:textId="77777777" w:rsidR="00AD327A" w:rsidRPr="000E1559" w:rsidRDefault="00AD327A" w:rsidP="00AD327A">
      <w:pPr>
        <w:pStyle w:val="Sarakstarindkopa"/>
        <w:spacing w:before="130" w:line="260" w:lineRule="exact"/>
        <w:ind w:left="0"/>
        <w:contextualSpacing w:val="0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 xml:space="preserve">2. </w:t>
      </w:r>
      <w:proofErr w:type="spellStart"/>
      <w:r w:rsidRPr="000E1559">
        <w:rPr>
          <w:rFonts w:ascii="Cambria" w:hAnsi="Cambria"/>
          <w:sz w:val="19"/>
          <w:szCs w:val="19"/>
        </w:rPr>
        <w:t>Objektā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deklarēto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iedzīvotāju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skaits</w:t>
      </w:r>
      <w:proofErr w:type="spellEnd"/>
      <w:r w:rsidRPr="000E1559">
        <w:rPr>
          <w:rFonts w:ascii="Cambria" w:hAnsi="Cambria"/>
          <w:sz w:val="19"/>
          <w:szCs w:val="19"/>
        </w:rPr>
        <w:t xml:space="preserve"> _____________</w:t>
      </w:r>
    </w:p>
    <w:p w14:paraId="5004C073" w14:textId="77777777" w:rsidR="00AD327A" w:rsidRPr="000E1559" w:rsidRDefault="00AD327A" w:rsidP="00AD327A">
      <w:pPr>
        <w:pStyle w:val="Sarakstarindkopa"/>
        <w:spacing w:before="130" w:line="260" w:lineRule="exact"/>
        <w:ind w:left="0"/>
        <w:contextualSpacing w:val="0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 xml:space="preserve">3. </w:t>
      </w:r>
      <w:proofErr w:type="spellStart"/>
      <w:r w:rsidRPr="000E1559">
        <w:rPr>
          <w:rFonts w:ascii="Cambria" w:hAnsi="Cambria"/>
          <w:sz w:val="19"/>
          <w:szCs w:val="19"/>
        </w:rPr>
        <w:t>Objektā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faktiski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dzīvojošo</w:t>
      </w:r>
      <w:proofErr w:type="spellEnd"/>
      <w:r w:rsidRPr="000E1559">
        <w:rPr>
          <w:rFonts w:ascii="Cambria" w:hAnsi="Cambria"/>
          <w:sz w:val="19"/>
          <w:szCs w:val="19"/>
        </w:rPr>
        <w:t xml:space="preserve"> </w:t>
      </w:r>
      <w:proofErr w:type="spellStart"/>
      <w:r w:rsidRPr="000E1559">
        <w:rPr>
          <w:rFonts w:ascii="Cambria" w:hAnsi="Cambria"/>
          <w:sz w:val="19"/>
          <w:szCs w:val="19"/>
        </w:rPr>
        <w:t>skaits</w:t>
      </w:r>
      <w:proofErr w:type="spellEnd"/>
      <w:r w:rsidRPr="000E1559">
        <w:rPr>
          <w:rFonts w:ascii="Cambria" w:hAnsi="Cambria"/>
          <w:sz w:val="19"/>
          <w:szCs w:val="19"/>
        </w:rPr>
        <w:t xml:space="preserve"> _____________</w:t>
      </w:r>
    </w:p>
    <w:p w14:paraId="6157DF48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4. Vai objektā ūdensapgādes patēriņa uzskaitei ir uzstādīts ūdens mērītājs?</w:t>
      </w:r>
    </w:p>
    <w:p w14:paraId="031DAF64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 xml:space="preserve">ir </w:t>
      </w: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nav</w:t>
      </w:r>
    </w:p>
    <w:p w14:paraId="24DE47D3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bCs/>
          <w:sz w:val="19"/>
          <w:szCs w:val="19"/>
        </w:rPr>
      </w:pPr>
      <w:r w:rsidRPr="000E1559">
        <w:rPr>
          <w:rFonts w:ascii="Cambria" w:hAnsi="Cambria"/>
          <w:bCs/>
          <w:sz w:val="19"/>
          <w:szCs w:val="19"/>
        </w:rPr>
        <w:t>4.1. Esošais vai prognozējamais (atbilstošo pasvītrot) vidējais ūdens patēriņš mēnesī ____ m</w:t>
      </w:r>
      <w:r w:rsidRPr="000E1559">
        <w:rPr>
          <w:rFonts w:ascii="Cambria" w:hAnsi="Cambria"/>
          <w:bCs/>
          <w:sz w:val="19"/>
          <w:szCs w:val="19"/>
          <w:vertAlign w:val="superscript"/>
        </w:rPr>
        <w:t>3</w:t>
      </w:r>
    </w:p>
    <w:p w14:paraId="7E7641D8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bCs/>
          <w:sz w:val="19"/>
          <w:szCs w:val="19"/>
        </w:rPr>
      </w:pPr>
      <w:r w:rsidRPr="000E1559">
        <w:rPr>
          <w:rFonts w:ascii="Cambria" w:hAnsi="Cambria"/>
          <w:bCs/>
          <w:sz w:val="19"/>
          <w:szCs w:val="19"/>
        </w:rPr>
        <w:t>4.2. Izvedamais notekūdeņu un nosēdumu vai dūņu nogulšņu apjoms mēnesī ____ m</w:t>
      </w:r>
      <w:r w:rsidRPr="000E1559">
        <w:rPr>
          <w:rFonts w:ascii="Cambria" w:hAnsi="Cambria"/>
          <w:bCs/>
          <w:sz w:val="19"/>
          <w:szCs w:val="19"/>
          <w:vertAlign w:val="superscript"/>
        </w:rPr>
        <w:t>3</w:t>
      </w:r>
    </w:p>
    <w:p w14:paraId="19C8E44C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5. Decentralizētās kanalizācijas sistēmas veids:</w:t>
      </w:r>
    </w:p>
    <w:p w14:paraId="4AEAEF95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 xml:space="preserve">5.1. notekūdeņu </w:t>
      </w:r>
      <w:proofErr w:type="spellStart"/>
      <w:r w:rsidRPr="000E1559">
        <w:rPr>
          <w:rFonts w:ascii="Cambria" w:hAnsi="Cambria"/>
          <w:sz w:val="19"/>
          <w:szCs w:val="19"/>
        </w:rPr>
        <w:t>krājtvertne</w:t>
      </w:r>
      <w:proofErr w:type="spellEnd"/>
      <w:r w:rsidRPr="000E1559">
        <w:rPr>
          <w:rFonts w:ascii="Cambria" w:hAnsi="Cambria"/>
          <w:sz w:val="19"/>
          <w:szCs w:val="19"/>
        </w:rPr>
        <w:t xml:space="preserve"> (jebkurš rezervuārs, </w:t>
      </w:r>
      <w:proofErr w:type="spellStart"/>
      <w:r w:rsidRPr="000E1559">
        <w:rPr>
          <w:rFonts w:ascii="Cambria" w:hAnsi="Cambria"/>
          <w:sz w:val="19"/>
          <w:szCs w:val="19"/>
        </w:rPr>
        <w:t>nosēdaka</w:t>
      </w:r>
      <w:proofErr w:type="spellEnd"/>
      <w:r w:rsidRPr="000E1559">
        <w:rPr>
          <w:rFonts w:ascii="Cambria" w:hAnsi="Cambria"/>
          <w:sz w:val="19"/>
          <w:szCs w:val="19"/>
        </w:rPr>
        <w:t xml:space="preserve"> vai izsmeļamā bedre, pārvietojamā tualete, sausā tualete), kurās uzkrājas neattīrīti notekūdeņi, septisko vai kanalizācijas sistēmu atkritumi.</w:t>
      </w:r>
    </w:p>
    <w:p w14:paraId="31F5F4E8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5.1.1. Cik bieži tiek veikta notekūdeņu izvešana:</w:t>
      </w:r>
    </w:p>
    <w:p w14:paraId="43C13096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vairāk kā 1 x mēnesī;</w:t>
      </w:r>
    </w:p>
    <w:p w14:paraId="6571CF32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1x mēnesī;</w:t>
      </w:r>
    </w:p>
    <w:p w14:paraId="5A268FCC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 x ceturksnī;</w:t>
      </w:r>
    </w:p>
    <w:p w14:paraId="14676EC3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 x pusgadā;</w:t>
      </w:r>
    </w:p>
    <w:p w14:paraId="5F10E6A9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1x gadā;</w:t>
      </w:r>
    </w:p>
    <w:p w14:paraId="266DC799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retāk kā 1 x gadā.</w:t>
      </w:r>
    </w:p>
    <w:p w14:paraId="5C8F0921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bCs/>
          <w:sz w:val="19"/>
          <w:szCs w:val="19"/>
        </w:rPr>
      </w:pPr>
      <w:r w:rsidRPr="000E1559">
        <w:rPr>
          <w:rFonts w:ascii="Cambria" w:hAnsi="Cambria"/>
          <w:bCs/>
          <w:sz w:val="19"/>
          <w:szCs w:val="19"/>
        </w:rPr>
        <w:t xml:space="preserve">5.1.2. </w:t>
      </w:r>
      <w:proofErr w:type="spellStart"/>
      <w:r w:rsidRPr="000E1559">
        <w:rPr>
          <w:rFonts w:ascii="Cambria" w:hAnsi="Cambria"/>
          <w:bCs/>
          <w:sz w:val="19"/>
          <w:szCs w:val="19"/>
        </w:rPr>
        <w:t>Krājtvertnes</w:t>
      </w:r>
      <w:proofErr w:type="spellEnd"/>
      <w:r w:rsidRPr="000E1559">
        <w:rPr>
          <w:rFonts w:ascii="Cambria" w:hAnsi="Cambria"/>
          <w:bCs/>
          <w:sz w:val="19"/>
          <w:szCs w:val="19"/>
        </w:rPr>
        <w:t xml:space="preserve"> tilpums:</w:t>
      </w:r>
    </w:p>
    <w:p w14:paraId="765E1AF1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&lt; 3m</w:t>
      </w:r>
      <w:r w:rsidRPr="000E1559">
        <w:rPr>
          <w:rFonts w:ascii="Cambria" w:hAnsi="Cambria"/>
          <w:sz w:val="19"/>
          <w:szCs w:val="19"/>
          <w:vertAlign w:val="superscript"/>
        </w:rPr>
        <w:t>3</w:t>
      </w:r>
      <w:r w:rsidRPr="000E1559">
        <w:rPr>
          <w:rFonts w:ascii="Cambria" w:hAnsi="Cambria"/>
          <w:sz w:val="19"/>
          <w:szCs w:val="19"/>
        </w:rPr>
        <w:t>;</w:t>
      </w:r>
    </w:p>
    <w:p w14:paraId="133C753B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3 līdz 5 m</w:t>
      </w:r>
      <w:r w:rsidRPr="000E1559">
        <w:rPr>
          <w:rFonts w:ascii="Cambria" w:hAnsi="Cambria"/>
          <w:sz w:val="19"/>
          <w:szCs w:val="19"/>
          <w:vertAlign w:val="superscript"/>
        </w:rPr>
        <w:t>3</w:t>
      </w:r>
      <w:r w:rsidRPr="000E1559">
        <w:rPr>
          <w:rFonts w:ascii="Cambria" w:hAnsi="Cambria"/>
          <w:sz w:val="19"/>
          <w:szCs w:val="19"/>
        </w:rPr>
        <w:t>;</w:t>
      </w:r>
    </w:p>
    <w:p w14:paraId="116A1EA5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5 līdz 10 m</w:t>
      </w:r>
      <w:r w:rsidRPr="000E1559">
        <w:rPr>
          <w:rFonts w:ascii="Cambria" w:hAnsi="Cambria"/>
          <w:sz w:val="19"/>
          <w:szCs w:val="19"/>
          <w:vertAlign w:val="superscript"/>
        </w:rPr>
        <w:t>3</w:t>
      </w:r>
      <w:r w:rsidRPr="000E1559">
        <w:rPr>
          <w:rFonts w:ascii="Cambria" w:hAnsi="Cambria"/>
          <w:sz w:val="19"/>
          <w:szCs w:val="19"/>
        </w:rPr>
        <w:t>;</w:t>
      </w:r>
    </w:p>
    <w:p w14:paraId="2F265AFC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&gt; 10 m</w:t>
      </w:r>
      <w:r w:rsidRPr="000E1559">
        <w:rPr>
          <w:rFonts w:ascii="Cambria" w:hAnsi="Cambria"/>
          <w:sz w:val="19"/>
          <w:szCs w:val="19"/>
          <w:vertAlign w:val="superscript"/>
        </w:rPr>
        <w:t>3</w:t>
      </w:r>
    </w:p>
    <w:p w14:paraId="6D7D547B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br w:type="page"/>
      </w:r>
      <w:r w:rsidRPr="000E1559">
        <w:rPr>
          <w:rFonts w:ascii="Cambria" w:hAnsi="Cambria"/>
          <w:sz w:val="19"/>
          <w:szCs w:val="19"/>
        </w:rPr>
        <w:lastRenderedPageBreak/>
        <w:t xml:space="preserve">5.1.3. Cik bieži jāizved </w:t>
      </w:r>
      <w:proofErr w:type="spellStart"/>
      <w:r w:rsidRPr="000E1559">
        <w:rPr>
          <w:rFonts w:ascii="Cambria" w:hAnsi="Cambria"/>
          <w:sz w:val="19"/>
          <w:szCs w:val="19"/>
        </w:rPr>
        <w:t>krājtvertne</w:t>
      </w:r>
      <w:proofErr w:type="spellEnd"/>
      <w:r w:rsidRPr="000E1559">
        <w:rPr>
          <w:rFonts w:ascii="Cambria" w:hAnsi="Cambria"/>
          <w:sz w:val="19"/>
          <w:szCs w:val="19"/>
        </w:rPr>
        <w:t>, aprēķinot atbilstoši šo noteikumu 7. punktam (Pakalpojuma sniedzējs):</w:t>
      </w:r>
    </w:p>
    <w:p w14:paraId="7C1ED1D7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vairāk kā 1 x mēnesī;</w:t>
      </w:r>
    </w:p>
    <w:p w14:paraId="45651952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1x mēnesī;</w:t>
      </w:r>
    </w:p>
    <w:p w14:paraId="52892E23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 x ceturksnī;</w:t>
      </w:r>
    </w:p>
    <w:p w14:paraId="73BBDC43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 x pusgadā;</w:t>
      </w:r>
    </w:p>
    <w:p w14:paraId="08FDF798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1x gadā;</w:t>
      </w:r>
    </w:p>
    <w:p w14:paraId="1210426F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5.2. Rūpnieciski izgatavotas notekūdeņu attīrīšanas iekārtas, kuras attīrītos notekūdeņus novada vidē un kopējā jauda ir mazāka par 5 m</w:t>
      </w:r>
      <w:r w:rsidRPr="000E1559">
        <w:rPr>
          <w:rFonts w:ascii="Cambria" w:hAnsi="Cambria"/>
          <w:sz w:val="19"/>
          <w:szCs w:val="19"/>
          <w:vertAlign w:val="superscript"/>
        </w:rPr>
        <w:t>3</w:t>
      </w:r>
      <w:r w:rsidRPr="000E1559">
        <w:rPr>
          <w:rFonts w:ascii="Cambria" w:hAnsi="Cambria"/>
          <w:sz w:val="19"/>
          <w:szCs w:val="19"/>
        </w:rPr>
        <w:t>/diennaktī:</w:t>
      </w:r>
    </w:p>
    <w:p w14:paraId="14D1695A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5.2.1. Cik bieži tiek veikta regulārā apkope lokālajām notekūdeņu attīrīšanas iekārtām:</w:t>
      </w:r>
    </w:p>
    <w:p w14:paraId="40C3710B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vairāk kā 1 x gadā;</w:t>
      </w:r>
    </w:p>
    <w:p w14:paraId="24D49A8D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1x gadā;</w:t>
      </w:r>
    </w:p>
    <w:p w14:paraId="0B39C7C0" w14:textId="77777777" w:rsidR="00AD327A" w:rsidRPr="000E1559" w:rsidRDefault="00AD327A" w:rsidP="00AD327A">
      <w:pPr>
        <w:spacing w:before="130" w:after="13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retāk kā 1 x gadā.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3"/>
        <w:gridCol w:w="3572"/>
        <w:gridCol w:w="1935"/>
      </w:tblGrid>
      <w:tr w:rsidR="00AD327A" w:rsidRPr="000B2621" w14:paraId="5E1D5300" w14:textId="77777777" w:rsidTr="0081363D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42B0D0E4" w14:textId="77777777" w:rsidR="00AD327A" w:rsidRPr="000B2621" w:rsidRDefault="00AD327A" w:rsidP="0081363D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  <w:r w:rsidRPr="000B2621">
              <w:rPr>
                <w:rFonts w:ascii="Cambria" w:eastAsia="Times New Roman" w:hAnsi="Cambria"/>
                <w:sz w:val="19"/>
                <w:szCs w:val="19"/>
              </w:rPr>
              <w:t>5.2.2. Kad veikta iepriekšējā apkope: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A80E4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93F57F0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AD327A" w:rsidRPr="000B2621" w14:paraId="5357542B" w14:textId="77777777" w:rsidTr="0081363D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26060569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00A61E3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 w:rsidRPr="000B2621">
              <w:rPr>
                <w:rFonts w:ascii="Cambria" w:eastAsia="Times New Roman" w:hAnsi="Cambria"/>
                <w:sz w:val="19"/>
                <w:szCs w:val="19"/>
              </w:rPr>
              <w:t>Lūdzu norādīt gadu un mēnesi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95A2C03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</w:tbl>
    <w:p w14:paraId="5844D0BC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5.2.3. Kā īpašumā tiek nodrošināta atbilstoša notekūdeņu attīrīšanas iekārtu apsaimniekošana</w:t>
      </w:r>
    </w:p>
    <w:p w14:paraId="63089157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līgums par īpašumā esošo NAI apkalpošanas un ekspluatācijas pasākumu nodrošināšanu;</w:t>
      </w:r>
    </w:p>
    <w:p w14:paraId="5ABC96AA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apsaimnieko pats īpašnieks;</w:t>
      </w:r>
    </w:p>
    <w:p w14:paraId="0FECCC5B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netiek nodrošināta.</w:t>
      </w:r>
    </w:p>
    <w:p w14:paraId="0A68754F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5.2.4. Vai ir tehniskā dokumentācija par notekūdeņu attīrīšanas iekārtu izbūvi:</w:t>
      </w:r>
    </w:p>
    <w:p w14:paraId="64691EA8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ir;</w:t>
      </w:r>
    </w:p>
    <w:p w14:paraId="2FC9ED65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nav.</w:t>
      </w:r>
    </w:p>
    <w:p w14:paraId="70A517C7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 xml:space="preserve">5.3. </w:t>
      </w:r>
      <w:proofErr w:type="spellStart"/>
      <w:r w:rsidRPr="000E1559">
        <w:rPr>
          <w:rFonts w:ascii="Cambria" w:hAnsi="Cambria"/>
          <w:sz w:val="19"/>
          <w:szCs w:val="19"/>
        </w:rPr>
        <w:t>Septiķis</w:t>
      </w:r>
      <w:proofErr w:type="spellEnd"/>
      <w:r w:rsidRPr="000E1559">
        <w:rPr>
          <w:rFonts w:ascii="Cambria" w:hAnsi="Cambria"/>
          <w:sz w:val="19"/>
          <w:szCs w:val="19"/>
        </w:rPr>
        <w:t xml:space="preserve"> ar divām vai vairāk kamerām, kur notekūdeņi pēc </w:t>
      </w:r>
      <w:proofErr w:type="spellStart"/>
      <w:r w:rsidRPr="000E1559">
        <w:rPr>
          <w:rFonts w:ascii="Cambria" w:hAnsi="Cambria"/>
          <w:sz w:val="19"/>
          <w:szCs w:val="19"/>
        </w:rPr>
        <w:t>septiķa</w:t>
      </w:r>
      <w:proofErr w:type="spellEnd"/>
      <w:r w:rsidRPr="000E1559">
        <w:rPr>
          <w:rFonts w:ascii="Cambria" w:hAnsi="Cambria"/>
          <w:sz w:val="19"/>
          <w:szCs w:val="19"/>
        </w:rPr>
        <w:t xml:space="preserve"> vidē tiek novadīti caur speciāli ierīkotu infiltrācijas sistēmu (filtrācijas laukiem, apakšzemes filtrējošām drenām, smilts grants filtriem, filtrācijas grāvjiem vai akām un kurš izbūvēts atbilstoši būvniecību regulējošiem normatīvajiem aktiem;</w:t>
      </w:r>
    </w:p>
    <w:p w14:paraId="088E1034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 xml:space="preserve">5.3.1. Cik bieži tiek veikta nosēdumu izvešana no </w:t>
      </w:r>
      <w:proofErr w:type="spellStart"/>
      <w:r w:rsidRPr="000E1559">
        <w:rPr>
          <w:rFonts w:ascii="Cambria" w:hAnsi="Cambria"/>
          <w:sz w:val="19"/>
          <w:szCs w:val="19"/>
        </w:rPr>
        <w:t>septiķa</w:t>
      </w:r>
      <w:proofErr w:type="spellEnd"/>
      <w:r w:rsidRPr="000E1559">
        <w:rPr>
          <w:rFonts w:ascii="Cambria" w:hAnsi="Cambria"/>
          <w:sz w:val="19"/>
          <w:szCs w:val="19"/>
        </w:rPr>
        <w:t xml:space="preserve"> nostādinātāja:</w:t>
      </w:r>
    </w:p>
    <w:p w14:paraId="4D104560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vairāk kā 1 x gadā;</w:t>
      </w:r>
    </w:p>
    <w:p w14:paraId="04424D58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1x gadā;</w:t>
      </w:r>
    </w:p>
    <w:p w14:paraId="7E9DD7CC" w14:textId="77777777" w:rsidR="00AD327A" w:rsidRPr="000E1559" w:rsidRDefault="00AD327A" w:rsidP="00AD327A">
      <w:pPr>
        <w:spacing w:before="130" w:after="13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retāk kā 1 x gadā.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3"/>
        <w:gridCol w:w="3572"/>
        <w:gridCol w:w="1935"/>
      </w:tblGrid>
      <w:tr w:rsidR="00AD327A" w:rsidRPr="000B2621" w14:paraId="5F32FCE4" w14:textId="77777777" w:rsidTr="0081363D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086C9B1C" w14:textId="77777777" w:rsidR="00AD327A" w:rsidRPr="000B2621" w:rsidRDefault="00AD327A" w:rsidP="0081363D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</w:rPr>
            </w:pPr>
            <w:r w:rsidRPr="000B2621">
              <w:rPr>
                <w:rFonts w:ascii="Cambria" w:eastAsia="Times New Roman" w:hAnsi="Cambria"/>
                <w:bCs/>
                <w:sz w:val="19"/>
                <w:szCs w:val="19"/>
              </w:rPr>
              <w:t>5.3.2. Kad veikta iepriekšējā izvešana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2729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0F62D41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</w:rPr>
            </w:pPr>
          </w:p>
        </w:tc>
      </w:tr>
      <w:tr w:rsidR="00AD327A" w:rsidRPr="000B2621" w14:paraId="4C74F0A7" w14:textId="77777777" w:rsidTr="0081363D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421C8E58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C8DA5CD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</w:rPr>
            </w:pPr>
            <w:r w:rsidRPr="000B2621">
              <w:rPr>
                <w:rFonts w:ascii="Cambria" w:eastAsia="Times New Roman" w:hAnsi="Cambria"/>
                <w:sz w:val="19"/>
                <w:szCs w:val="19"/>
              </w:rPr>
              <w:t>Lūdzu norādīt gadu un mēnesi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11E8F86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</w:rPr>
            </w:pPr>
          </w:p>
        </w:tc>
      </w:tr>
    </w:tbl>
    <w:p w14:paraId="3D4122DD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bCs/>
          <w:sz w:val="19"/>
          <w:szCs w:val="19"/>
        </w:rPr>
      </w:pPr>
      <w:r w:rsidRPr="000E1559">
        <w:rPr>
          <w:rFonts w:ascii="Cambria" w:hAnsi="Cambria"/>
          <w:bCs/>
          <w:sz w:val="19"/>
          <w:szCs w:val="19"/>
        </w:rPr>
        <w:t xml:space="preserve">5.3.3. </w:t>
      </w:r>
      <w:r w:rsidRPr="000E1559">
        <w:rPr>
          <w:rFonts w:ascii="Cambria" w:hAnsi="Cambria"/>
          <w:sz w:val="19"/>
          <w:szCs w:val="19"/>
        </w:rPr>
        <w:t xml:space="preserve">Kā īpašumā tiek nodrošināta atbilstoša nosēdumu izvešana no </w:t>
      </w:r>
      <w:proofErr w:type="spellStart"/>
      <w:r w:rsidRPr="000E1559">
        <w:rPr>
          <w:rFonts w:ascii="Cambria" w:hAnsi="Cambria"/>
          <w:sz w:val="19"/>
          <w:szCs w:val="19"/>
        </w:rPr>
        <w:t>septiķa</w:t>
      </w:r>
      <w:proofErr w:type="spellEnd"/>
      <w:r w:rsidRPr="000E1559">
        <w:rPr>
          <w:rFonts w:ascii="Cambria" w:hAnsi="Cambria"/>
          <w:sz w:val="19"/>
          <w:szCs w:val="19"/>
        </w:rPr>
        <w:t xml:space="preserve"> nosēdinātāja:</w:t>
      </w:r>
    </w:p>
    <w:p w14:paraId="06E35D38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Līgums par uzkrāto notekūdeņu izvešanu;</w:t>
      </w:r>
    </w:p>
    <w:p w14:paraId="5B7BD428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Pēc vajadzības pasūtu nepieciešamos pakalpojumus komersantiem;</w:t>
      </w:r>
    </w:p>
    <w:p w14:paraId="3886DFD1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Netiek nodrošināta.</w:t>
      </w:r>
    </w:p>
    <w:p w14:paraId="2945343C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bCs/>
          <w:sz w:val="19"/>
          <w:szCs w:val="19"/>
        </w:rPr>
        <w:br w:type="page"/>
      </w:r>
      <w:r w:rsidRPr="000E1559">
        <w:rPr>
          <w:rFonts w:ascii="Cambria" w:hAnsi="Cambria"/>
          <w:bCs/>
          <w:sz w:val="19"/>
          <w:szCs w:val="19"/>
        </w:rPr>
        <w:lastRenderedPageBreak/>
        <w:t xml:space="preserve">5.3.4. </w:t>
      </w:r>
      <w:r w:rsidRPr="000E1559">
        <w:rPr>
          <w:rFonts w:ascii="Cambria" w:hAnsi="Cambria"/>
          <w:sz w:val="19"/>
          <w:szCs w:val="19"/>
        </w:rPr>
        <w:t xml:space="preserve">Vai ir tehniskā dokumentācija par </w:t>
      </w:r>
      <w:proofErr w:type="spellStart"/>
      <w:r w:rsidRPr="000E1559">
        <w:rPr>
          <w:rFonts w:ascii="Cambria" w:hAnsi="Cambria"/>
          <w:sz w:val="19"/>
          <w:szCs w:val="19"/>
        </w:rPr>
        <w:t>septiķa</w:t>
      </w:r>
      <w:proofErr w:type="spellEnd"/>
      <w:r w:rsidRPr="000E1559">
        <w:rPr>
          <w:rFonts w:ascii="Cambria" w:hAnsi="Cambria"/>
          <w:sz w:val="19"/>
          <w:szCs w:val="19"/>
        </w:rPr>
        <w:t xml:space="preserve"> un filtrācijas lauku izbūvi:</w:t>
      </w:r>
    </w:p>
    <w:p w14:paraId="5EF1BD6F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ir;</w:t>
      </w:r>
    </w:p>
    <w:p w14:paraId="7AFD2AC8" w14:textId="77777777" w:rsidR="00AD327A" w:rsidRPr="000E1559" w:rsidRDefault="00AD327A" w:rsidP="00AD327A">
      <w:pPr>
        <w:spacing w:before="130" w:after="13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nav.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7571"/>
      </w:tblGrid>
      <w:tr w:rsidR="00AD327A" w:rsidRPr="000B2621" w14:paraId="13242480" w14:textId="77777777" w:rsidTr="0081363D">
        <w:trPr>
          <w:cantSplit/>
        </w:trPr>
        <w:tc>
          <w:tcPr>
            <w:tcW w:w="1162" w:type="dxa"/>
            <w:shd w:val="clear" w:color="auto" w:fill="auto"/>
            <w:vAlign w:val="center"/>
          </w:tcPr>
          <w:p w14:paraId="5D5F243B" w14:textId="77777777" w:rsidR="00AD327A" w:rsidRPr="000B2621" w:rsidRDefault="00AD327A" w:rsidP="0081363D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  <w:r w:rsidRPr="000B2621">
              <w:rPr>
                <w:rFonts w:ascii="Cambria" w:eastAsia="Times New Roman" w:hAnsi="Cambria"/>
                <w:bCs/>
                <w:sz w:val="19"/>
                <w:szCs w:val="19"/>
              </w:rPr>
              <w:t>5.4. Cits</w:t>
            </w:r>
          </w:p>
        </w:tc>
        <w:tc>
          <w:tcPr>
            <w:tcW w:w="8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C2BA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AD327A" w:rsidRPr="000B2621" w14:paraId="3944EC73" w14:textId="77777777" w:rsidTr="0081363D">
        <w:trPr>
          <w:cantSplit/>
        </w:trPr>
        <w:tc>
          <w:tcPr>
            <w:tcW w:w="1162" w:type="dxa"/>
            <w:shd w:val="clear" w:color="auto" w:fill="auto"/>
            <w:vAlign w:val="center"/>
          </w:tcPr>
          <w:p w14:paraId="6C990E8D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8419" w:type="dxa"/>
            <w:tcBorders>
              <w:top w:val="single" w:sz="4" w:space="0" w:color="auto"/>
            </w:tcBorders>
            <w:shd w:val="clear" w:color="auto" w:fill="auto"/>
          </w:tcPr>
          <w:p w14:paraId="46D01F13" w14:textId="77777777" w:rsidR="00AD327A" w:rsidRPr="000B2621" w:rsidRDefault="00AD327A" w:rsidP="0081363D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0B2621">
              <w:rPr>
                <w:rFonts w:ascii="Cambria" w:eastAsia="Times New Roman" w:hAnsi="Cambria"/>
                <w:i/>
                <w:sz w:val="17"/>
                <w:szCs w:val="17"/>
              </w:rPr>
              <w:t>(Lūdzu norādiet Jūsu īpašumā esošās decentralizētās kanalizācijas sistēmas veidu)</w:t>
            </w:r>
          </w:p>
        </w:tc>
      </w:tr>
    </w:tbl>
    <w:p w14:paraId="242FDBBC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6. Vai plānojat pieslēgties centralizētiem notekūdeņu novadīšanas tīkliem?</w:t>
      </w:r>
    </w:p>
    <w:p w14:paraId="5B0D7A9C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jā (atbildiet uz 11. jautājumu)</w:t>
      </w:r>
    </w:p>
    <w:p w14:paraId="2F259F2B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nē</w:t>
      </w:r>
    </w:p>
    <w:p w14:paraId="51580F0F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7. Kad plānojat pieslēgties centralizētiem notekūdeņu novadīšanas tīkliem?</w:t>
      </w:r>
    </w:p>
    <w:p w14:paraId="3A469581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2022. gada laikā</w:t>
      </w:r>
    </w:p>
    <w:p w14:paraId="40E254A6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2023. gada laikā</w:t>
      </w:r>
    </w:p>
    <w:p w14:paraId="45D63587" w14:textId="77777777" w:rsidR="00AD327A" w:rsidRPr="000E1559" w:rsidRDefault="00AD327A" w:rsidP="00AD327A">
      <w:pPr>
        <w:spacing w:before="130" w:after="0" w:line="260" w:lineRule="exact"/>
        <w:ind w:left="227"/>
        <w:jc w:val="both"/>
        <w:rPr>
          <w:rFonts w:ascii="Cambria" w:hAnsi="Cambria"/>
          <w:sz w:val="19"/>
          <w:szCs w:val="19"/>
        </w:rPr>
      </w:pPr>
      <w:r w:rsidRPr="00AE72C4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0E1559">
        <w:rPr>
          <w:rFonts w:ascii="Cambria" w:hAnsi="Cambria"/>
          <w:sz w:val="19"/>
          <w:szCs w:val="19"/>
        </w:rPr>
        <w:t>līdz 20__</w:t>
      </w:r>
      <w:r>
        <w:rPr>
          <w:rFonts w:ascii="Cambria" w:hAnsi="Cambria"/>
          <w:sz w:val="19"/>
          <w:szCs w:val="19"/>
        </w:rPr>
        <w:t>__</w:t>
      </w:r>
      <w:r w:rsidRPr="000E1559">
        <w:rPr>
          <w:rFonts w:ascii="Cambria" w:hAnsi="Cambria"/>
          <w:sz w:val="19"/>
          <w:szCs w:val="19"/>
        </w:rPr>
        <w:t>. gadam</w:t>
      </w:r>
    </w:p>
    <w:p w14:paraId="45D051FC" w14:textId="77777777" w:rsidR="00AD327A" w:rsidRPr="000E1559" w:rsidRDefault="00AD327A" w:rsidP="00AD327A">
      <w:pPr>
        <w:tabs>
          <w:tab w:val="left" w:pos="426"/>
        </w:tabs>
        <w:autoSpaceDE w:val="0"/>
        <w:autoSpaceDN w:val="0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</w:p>
    <w:p w14:paraId="63E6177F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Datums: _____________</w:t>
      </w:r>
    </w:p>
    <w:p w14:paraId="0D205302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0E1559">
        <w:rPr>
          <w:rFonts w:ascii="Cambria" w:hAnsi="Cambria"/>
          <w:sz w:val="19"/>
          <w:szCs w:val="19"/>
        </w:rPr>
        <w:t>Decentralizētās kanalizācijas sistēmas īpašnieka vai valdītāja vārds, uzvārds</w:t>
      </w:r>
    </w:p>
    <w:p w14:paraId="2C1D2E79" w14:textId="77777777" w:rsidR="00AD327A" w:rsidRPr="000E1559" w:rsidRDefault="00AD327A" w:rsidP="00AD327A">
      <w:pPr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_________</w:t>
      </w:r>
      <w:r w:rsidRPr="000E1559">
        <w:rPr>
          <w:rFonts w:ascii="Cambria" w:hAnsi="Cambria"/>
          <w:sz w:val="19"/>
          <w:szCs w:val="19"/>
        </w:rPr>
        <w:t>________________________________________</w:t>
      </w:r>
    </w:p>
    <w:p w14:paraId="768C9B04" w14:textId="77777777" w:rsidR="00AD327A" w:rsidRPr="000E1559" w:rsidRDefault="00AD327A" w:rsidP="00AD327A">
      <w:pPr>
        <w:spacing w:before="130" w:after="0" w:line="260" w:lineRule="exact"/>
        <w:jc w:val="center"/>
        <w:rPr>
          <w:rFonts w:ascii="Cambria" w:hAnsi="Cambria"/>
          <w:i/>
          <w:sz w:val="19"/>
          <w:szCs w:val="19"/>
        </w:rPr>
      </w:pPr>
      <w:r w:rsidRPr="000E1559">
        <w:rPr>
          <w:rFonts w:ascii="Cambria" w:hAnsi="Cambria"/>
          <w:i/>
          <w:sz w:val="19"/>
          <w:szCs w:val="19"/>
        </w:rPr>
        <w:t>(personiskais paraksts)</w:t>
      </w:r>
    </w:p>
    <w:p w14:paraId="63045FF2" w14:textId="77777777" w:rsidR="00AD327A" w:rsidRDefault="00AD327A"/>
    <w:sectPr w:rsidR="00AD32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7A"/>
    <w:rsid w:val="001E6B1B"/>
    <w:rsid w:val="00A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6CE"/>
  <w15:chartTrackingRefBased/>
  <w15:docId w15:val="{41B2109A-F6C6-4EEF-A7A9-435DA4A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327A"/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AD327A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AD327A"/>
    <w:pPr>
      <w:spacing w:after="0" w:line="240" w:lineRule="auto"/>
      <w:ind w:left="720"/>
      <w:contextualSpacing/>
    </w:pPr>
    <w:rPr>
      <w:rFonts w:ascii="Times New Roman" w:eastAsiaTheme="minorHAnsi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2174</Words>
  <Characters>1240</Characters>
  <Application>Microsoft Office Word</Application>
  <DocSecurity>0</DocSecurity>
  <Lines>10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Santa Kūlīte</cp:lastModifiedBy>
  <cp:revision>2</cp:revision>
  <dcterms:created xsi:type="dcterms:W3CDTF">2023-09-22T06:19:00Z</dcterms:created>
  <dcterms:modified xsi:type="dcterms:W3CDTF">2023-09-22T06:19:00Z</dcterms:modified>
</cp:coreProperties>
</file>