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53C15980"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 traktora </w:t>
      </w:r>
      <w:r w:rsidR="00AB7DC5" w:rsidRPr="00A10807">
        <w:rPr>
          <w:rFonts w:ascii="Calibri" w:eastAsia="Times New Roman" w:hAnsi="Calibri" w:cs="Calibri"/>
          <w:b/>
          <w:color w:val="000000"/>
          <w:sz w:val="24"/>
          <w:szCs w:val="24"/>
          <w:u w:val="single"/>
          <w:lang w:eastAsia="lv-LV" w:bidi="ar-QA"/>
        </w:rPr>
        <w:t>Belarus 320.4 ar agregātiem, valsts reģistrācijas Nr. T7706LH</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596F605F" w14:textId="14921F6D" w:rsidR="00D744DA" w:rsidRPr="00EC6AB5" w:rsidRDefault="00D744DA" w:rsidP="00EC6AB5">
      <w:pPr>
        <w:numPr>
          <w:ilvl w:val="1"/>
          <w:numId w:val="1"/>
        </w:numPr>
        <w:suppressAutoHyphens/>
        <w:spacing w:after="0" w:line="240" w:lineRule="auto"/>
        <w:jc w:val="both"/>
        <w:rPr>
          <w:rFonts w:ascii="Calibri" w:eastAsia="Times New Roman" w:hAnsi="Calibri" w:cs="Calibri"/>
          <w:b/>
          <w:bCs/>
          <w:color w:val="000000"/>
          <w:sz w:val="24"/>
          <w:szCs w:val="24"/>
          <w:lang w:eastAsia="ar-QA" w:bidi="ar-QA"/>
        </w:rPr>
      </w:pPr>
      <w:r w:rsidRPr="0040098D">
        <w:rPr>
          <w:rFonts w:ascii="Calibri" w:eastAsia="Times New Roman" w:hAnsi="Calibri" w:cs="Calibri"/>
          <w:bCs/>
          <w:color w:val="000000"/>
          <w:sz w:val="24"/>
          <w:szCs w:val="24"/>
          <w:lang w:eastAsia="lv-LV" w:bidi="ar-QA"/>
        </w:rPr>
        <w:t>Kustamās mantas -</w:t>
      </w:r>
      <w:r w:rsidRPr="0040098D">
        <w:rPr>
          <w:rFonts w:ascii="Calibri" w:hAnsi="Calibri" w:cs="Calibri"/>
        </w:rPr>
        <w:t xml:space="preserve"> </w:t>
      </w:r>
      <w:r w:rsidRPr="00EC6AB5">
        <w:rPr>
          <w:rFonts w:ascii="Calibri" w:eastAsia="Times New Roman" w:hAnsi="Calibri" w:cs="Calibri"/>
          <w:bCs/>
          <w:color w:val="000000"/>
          <w:sz w:val="24"/>
          <w:szCs w:val="24"/>
          <w:u w:val="single"/>
          <w:lang w:eastAsia="lv-LV" w:bidi="ar-QA"/>
        </w:rPr>
        <w:t>traktora Belarus 320.4, ar agregātiem, valsts reģistrācijas Nr. T7706LH komplektācija</w:t>
      </w:r>
      <w:r w:rsidRPr="0040098D">
        <w:rPr>
          <w:rFonts w:ascii="Calibri" w:eastAsia="Times New Roman" w:hAnsi="Calibri" w:cs="Calibri"/>
          <w:b/>
          <w:color w:val="000000"/>
          <w:sz w:val="24"/>
          <w:szCs w:val="24"/>
          <w:lang w:eastAsia="lv-LV" w:bidi="ar-QA"/>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1184"/>
        <w:gridCol w:w="4925"/>
      </w:tblGrid>
      <w:tr w:rsidR="00D744DA" w:rsidRPr="0040098D" w14:paraId="606C18F6" w14:textId="77777777" w:rsidTr="007C3212">
        <w:trPr>
          <w:trHeight w:val="388"/>
        </w:trPr>
        <w:tc>
          <w:tcPr>
            <w:tcW w:w="2537" w:type="dxa"/>
            <w:shd w:val="clear" w:color="auto" w:fill="DEEAF6" w:themeFill="accent5" w:themeFillTint="33"/>
            <w:vAlign w:val="center"/>
          </w:tcPr>
          <w:p w14:paraId="20D1014B" w14:textId="73FA6CE7" w:rsidR="00D744DA" w:rsidRPr="007C3212" w:rsidRDefault="00B71E35" w:rsidP="007C3212">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Nosaukums</w:t>
            </w:r>
          </w:p>
        </w:tc>
        <w:tc>
          <w:tcPr>
            <w:tcW w:w="1184" w:type="dxa"/>
            <w:shd w:val="clear" w:color="auto" w:fill="DEEAF6" w:themeFill="accent5" w:themeFillTint="33"/>
            <w:vAlign w:val="center"/>
          </w:tcPr>
          <w:p w14:paraId="0D2B597D" w14:textId="77777777" w:rsidR="00D744DA" w:rsidRPr="007C3212" w:rsidRDefault="00D744DA" w:rsidP="007C3212">
            <w:pPr>
              <w:suppressAutoHyphens/>
              <w:spacing w:after="0" w:line="240" w:lineRule="auto"/>
              <w:jc w:val="center"/>
              <w:rPr>
                <w:rFonts w:ascii="Calibri" w:eastAsia="Calibri" w:hAnsi="Calibri" w:cs="Calibri"/>
                <w:b/>
                <w:bCs/>
                <w:sz w:val="24"/>
                <w:szCs w:val="24"/>
                <w:lang w:eastAsia="ar-SA"/>
              </w:rPr>
            </w:pPr>
            <w:r w:rsidRPr="007C3212">
              <w:rPr>
                <w:rFonts w:ascii="Calibri" w:eastAsia="Calibri" w:hAnsi="Calibri" w:cs="Calibri"/>
                <w:b/>
                <w:bCs/>
                <w:sz w:val="24"/>
                <w:szCs w:val="24"/>
                <w:lang w:eastAsia="ar-SA"/>
              </w:rPr>
              <w:t>Izlaiduma gads</w:t>
            </w:r>
          </w:p>
        </w:tc>
        <w:tc>
          <w:tcPr>
            <w:tcW w:w="4925" w:type="dxa"/>
            <w:shd w:val="clear" w:color="auto" w:fill="DEEAF6" w:themeFill="accent5" w:themeFillTint="33"/>
            <w:vAlign w:val="center"/>
          </w:tcPr>
          <w:p w14:paraId="5314CF93" w14:textId="77777777" w:rsidR="00D744DA" w:rsidRPr="007C3212" w:rsidRDefault="00D744DA" w:rsidP="007C3212">
            <w:pPr>
              <w:suppressAutoHyphens/>
              <w:spacing w:after="0" w:line="240" w:lineRule="auto"/>
              <w:jc w:val="center"/>
              <w:rPr>
                <w:rFonts w:ascii="Calibri" w:eastAsia="Calibri" w:hAnsi="Calibri" w:cs="Calibri"/>
                <w:b/>
                <w:bCs/>
                <w:sz w:val="24"/>
                <w:szCs w:val="24"/>
                <w:lang w:eastAsia="ar-SA"/>
              </w:rPr>
            </w:pPr>
            <w:r w:rsidRPr="007C3212">
              <w:rPr>
                <w:rFonts w:ascii="Calibri" w:eastAsia="Calibri" w:hAnsi="Calibri" w:cs="Calibri"/>
                <w:b/>
                <w:bCs/>
                <w:sz w:val="24"/>
                <w:szCs w:val="24"/>
                <w:lang w:eastAsia="ar-SA"/>
              </w:rPr>
              <w:t>Galvenie tehniskie parametri</w:t>
            </w:r>
          </w:p>
        </w:tc>
      </w:tr>
      <w:tr w:rsidR="00D744DA" w:rsidRPr="0040098D" w14:paraId="22EB6685" w14:textId="77777777" w:rsidTr="00BE46F3">
        <w:trPr>
          <w:trHeight w:val="388"/>
        </w:trPr>
        <w:tc>
          <w:tcPr>
            <w:tcW w:w="2537" w:type="dxa"/>
            <w:vAlign w:val="center"/>
          </w:tcPr>
          <w:p w14:paraId="2E06780D" w14:textId="77777777" w:rsidR="00D744DA" w:rsidRPr="0040098D" w:rsidRDefault="00D744DA" w:rsidP="00BE46F3">
            <w:pPr>
              <w:suppressAutoHyphens/>
              <w:spacing w:after="0" w:line="240" w:lineRule="auto"/>
              <w:rPr>
                <w:rFonts w:ascii="Calibri" w:eastAsia="Calibri" w:hAnsi="Calibri" w:cs="Calibri"/>
                <w:sz w:val="24"/>
                <w:szCs w:val="24"/>
                <w:lang w:eastAsia="ar-SA"/>
              </w:rPr>
            </w:pPr>
          </w:p>
          <w:p w14:paraId="493846AA"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Traktors Belarus 320.4</w:t>
            </w:r>
          </w:p>
        </w:tc>
        <w:tc>
          <w:tcPr>
            <w:tcW w:w="1184" w:type="dxa"/>
            <w:vAlign w:val="center"/>
          </w:tcPr>
          <w:p w14:paraId="0EFBCD97" w14:textId="77777777" w:rsidR="00D744DA" w:rsidRPr="0040098D" w:rsidRDefault="00D744DA" w:rsidP="00BE46F3">
            <w:pPr>
              <w:suppressAutoHyphens/>
              <w:spacing w:after="0" w:line="240" w:lineRule="auto"/>
              <w:rPr>
                <w:rFonts w:ascii="Calibri" w:eastAsia="Calibri" w:hAnsi="Calibri" w:cs="Calibri"/>
                <w:sz w:val="24"/>
                <w:szCs w:val="24"/>
                <w:lang w:eastAsia="ar-SA"/>
              </w:rPr>
            </w:pPr>
          </w:p>
          <w:p w14:paraId="6D0AC78F"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2014.</w:t>
            </w:r>
          </w:p>
        </w:tc>
        <w:tc>
          <w:tcPr>
            <w:tcW w:w="4925" w:type="dxa"/>
            <w:vAlign w:val="center"/>
          </w:tcPr>
          <w:p w14:paraId="5196B182"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3 cilindru, 1.65 L Lambordini LDW1603/B3 motors</w:t>
            </w:r>
          </w:p>
          <w:p w14:paraId="1D24AC1C"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Jauda - 36 ZS, nostrādājis 3535 motora stundas</w:t>
            </w:r>
          </w:p>
        </w:tc>
      </w:tr>
      <w:tr w:rsidR="00D744DA" w:rsidRPr="0040098D" w14:paraId="17A95281" w14:textId="77777777" w:rsidTr="00BE46F3">
        <w:trPr>
          <w:trHeight w:val="630"/>
        </w:trPr>
        <w:tc>
          <w:tcPr>
            <w:tcW w:w="2537" w:type="dxa"/>
            <w:vAlign w:val="center"/>
          </w:tcPr>
          <w:p w14:paraId="3BC8C692"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Frontālais iekrāvējs Metal Fach T812</w:t>
            </w:r>
          </w:p>
        </w:tc>
        <w:tc>
          <w:tcPr>
            <w:tcW w:w="1184" w:type="dxa"/>
            <w:vAlign w:val="center"/>
          </w:tcPr>
          <w:p w14:paraId="2076A91B" w14:textId="77777777" w:rsidR="00D744DA" w:rsidRPr="0040098D" w:rsidRDefault="00D744DA" w:rsidP="00BE46F3">
            <w:pPr>
              <w:suppressAutoHyphens/>
              <w:spacing w:after="0" w:line="240" w:lineRule="auto"/>
              <w:rPr>
                <w:rFonts w:ascii="Calibri" w:eastAsia="Times New Roman" w:hAnsi="Calibri" w:cs="Calibri"/>
                <w:sz w:val="24"/>
                <w:szCs w:val="24"/>
                <w:lang w:eastAsia="ar-SA"/>
              </w:rPr>
            </w:pPr>
          </w:p>
          <w:p w14:paraId="03423107" w14:textId="77777777" w:rsidR="00D744DA" w:rsidRPr="0040098D" w:rsidRDefault="00D744DA" w:rsidP="00BE46F3">
            <w:pPr>
              <w:suppressAutoHyphens/>
              <w:spacing w:after="0" w:line="240" w:lineRule="auto"/>
              <w:rPr>
                <w:rFonts w:ascii="Calibri" w:eastAsia="Times New Roman" w:hAnsi="Calibri" w:cs="Calibri"/>
                <w:sz w:val="24"/>
                <w:szCs w:val="24"/>
                <w:lang w:eastAsia="ar-SA"/>
              </w:rPr>
            </w:pPr>
            <w:r w:rsidRPr="0040098D">
              <w:rPr>
                <w:rFonts w:ascii="Calibri" w:eastAsia="Times New Roman" w:hAnsi="Calibri" w:cs="Calibri"/>
                <w:sz w:val="24"/>
                <w:szCs w:val="24"/>
                <w:lang w:eastAsia="ar-SA"/>
              </w:rPr>
              <w:t>2014.</w:t>
            </w:r>
          </w:p>
          <w:p w14:paraId="1D5F8035" w14:textId="77777777" w:rsidR="00D744DA" w:rsidRPr="0040098D" w:rsidRDefault="00D744DA" w:rsidP="00BE46F3">
            <w:pPr>
              <w:suppressAutoHyphens/>
              <w:spacing w:after="0" w:line="240" w:lineRule="auto"/>
              <w:rPr>
                <w:rFonts w:ascii="Calibri" w:eastAsia="Times New Roman" w:hAnsi="Calibri" w:cs="Calibri"/>
                <w:sz w:val="24"/>
                <w:szCs w:val="24"/>
                <w:lang w:eastAsia="ar-SA"/>
              </w:rPr>
            </w:pPr>
          </w:p>
        </w:tc>
        <w:tc>
          <w:tcPr>
            <w:tcW w:w="4925" w:type="dxa"/>
            <w:vAlign w:val="center"/>
          </w:tcPr>
          <w:p w14:paraId="73C6409A"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Celtspēja -800 kg</w:t>
            </w:r>
          </w:p>
        </w:tc>
      </w:tr>
      <w:tr w:rsidR="00D744DA" w:rsidRPr="0040098D" w14:paraId="414AD919" w14:textId="77777777" w:rsidTr="00BE46F3">
        <w:trPr>
          <w:trHeight w:val="388"/>
        </w:trPr>
        <w:tc>
          <w:tcPr>
            <w:tcW w:w="2537" w:type="dxa"/>
            <w:vAlign w:val="center"/>
          </w:tcPr>
          <w:p w14:paraId="43738510"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Pļaujmašīna SaMASZ PIKO 130H</w:t>
            </w:r>
          </w:p>
        </w:tc>
        <w:tc>
          <w:tcPr>
            <w:tcW w:w="1184" w:type="dxa"/>
            <w:vAlign w:val="center"/>
          </w:tcPr>
          <w:p w14:paraId="41C4917A" w14:textId="77777777" w:rsidR="00D744DA" w:rsidRPr="0040098D" w:rsidRDefault="00D744DA" w:rsidP="00BE46F3">
            <w:pPr>
              <w:suppressAutoHyphens/>
              <w:spacing w:after="0" w:line="240" w:lineRule="auto"/>
              <w:rPr>
                <w:rFonts w:ascii="Calibri" w:eastAsia="Times New Roman" w:hAnsi="Calibri" w:cs="Calibri"/>
                <w:sz w:val="24"/>
                <w:szCs w:val="24"/>
                <w:lang w:eastAsia="ar-SA"/>
              </w:rPr>
            </w:pPr>
          </w:p>
          <w:p w14:paraId="2D0DC6EB" w14:textId="77777777" w:rsidR="00D744DA" w:rsidRPr="0040098D" w:rsidRDefault="00D744DA" w:rsidP="00BE46F3">
            <w:pPr>
              <w:suppressAutoHyphens/>
              <w:spacing w:after="0" w:line="240" w:lineRule="auto"/>
              <w:rPr>
                <w:rFonts w:ascii="Calibri" w:eastAsia="Times New Roman" w:hAnsi="Calibri" w:cs="Calibri"/>
                <w:sz w:val="24"/>
                <w:szCs w:val="24"/>
                <w:lang w:eastAsia="ar-SA"/>
              </w:rPr>
            </w:pPr>
            <w:r w:rsidRPr="0040098D">
              <w:rPr>
                <w:rFonts w:ascii="Calibri" w:eastAsia="Times New Roman" w:hAnsi="Calibri" w:cs="Calibri"/>
                <w:sz w:val="24"/>
                <w:szCs w:val="24"/>
                <w:lang w:eastAsia="ar-SA"/>
              </w:rPr>
              <w:t>2015.</w:t>
            </w:r>
          </w:p>
        </w:tc>
        <w:tc>
          <w:tcPr>
            <w:tcW w:w="4925" w:type="dxa"/>
            <w:vAlign w:val="center"/>
          </w:tcPr>
          <w:p w14:paraId="0494F7CC"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Platums - 1300 mm</w:t>
            </w:r>
          </w:p>
          <w:p w14:paraId="61F2F917" w14:textId="77777777" w:rsidR="00D744DA" w:rsidRPr="0040098D" w:rsidRDefault="00D744DA" w:rsidP="00BE46F3">
            <w:pPr>
              <w:suppressAutoHyphens/>
              <w:spacing w:after="0" w:line="240" w:lineRule="auto"/>
              <w:rPr>
                <w:rFonts w:ascii="Calibri" w:eastAsia="Calibri" w:hAnsi="Calibri" w:cs="Calibri"/>
                <w:sz w:val="24"/>
                <w:szCs w:val="24"/>
                <w:lang w:eastAsia="ar-SA"/>
              </w:rPr>
            </w:pPr>
            <w:r w:rsidRPr="0040098D">
              <w:rPr>
                <w:rFonts w:ascii="Calibri" w:eastAsia="Calibri" w:hAnsi="Calibri" w:cs="Calibri"/>
                <w:sz w:val="24"/>
                <w:szCs w:val="24"/>
                <w:lang w:eastAsia="ar-SA"/>
              </w:rPr>
              <w:t>Nažu skaits -34 gab.</w:t>
            </w:r>
          </w:p>
        </w:tc>
      </w:tr>
    </w:tbl>
    <w:p w14:paraId="4FF9A84E" w14:textId="77777777" w:rsidR="007C3212" w:rsidRDefault="007C3212" w:rsidP="007C3212">
      <w:pPr>
        <w:suppressAutoHyphens/>
        <w:spacing w:after="0" w:line="240" w:lineRule="auto"/>
        <w:ind w:left="435"/>
        <w:jc w:val="both"/>
        <w:rPr>
          <w:rFonts w:ascii="Calibri" w:eastAsia="Times New Roman" w:hAnsi="Calibri" w:cs="Calibri"/>
          <w:bCs/>
          <w:sz w:val="24"/>
          <w:szCs w:val="24"/>
          <w:lang w:eastAsia="lv-LV" w:bidi="ar-QA"/>
        </w:rPr>
      </w:pP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1390"/>
        <w:gridCol w:w="2099"/>
        <w:gridCol w:w="2815"/>
      </w:tblGrid>
      <w:tr w:rsidR="00D22ED1" w:rsidRPr="007C3212" w14:paraId="293962A7" w14:textId="3BD5D08A" w:rsidTr="00B76A8E">
        <w:trPr>
          <w:trHeight w:val="388"/>
        </w:trPr>
        <w:tc>
          <w:tcPr>
            <w:tcW w:w="24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1356"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210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2835"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9F49E4">
        <w:trPr>
          <w:trHeight w:val="388"/>
        </w:trPr>
        <w:tc>
          <w:tcPr>
            <w:tcW w:w="2494" w:type="dxa"/>
            <w:vAlign w:val="center"/>
          </w:tcPr>
          <w:p w14:paraId="6D3AA50C" w14:textId="2FD550A2" w:rsidR="00D22ED1" w:rsidRPr="0040098D" w:rsidRDefault="00D22ED1" w:rsidP="00ED17AA">
            <w:pPr>
              <w:suppressAutoHyphens/>
              <w:spacing w:after="0" w:line="240" w:lineRule="auto"/>
              <w:jc w:val="center"/>
              <w:rPr>
                <w:rFonts w:ascii="Calibri" w:eastAsia="Calibri" w:hAnsi="Calibri" w:cs="Calibri"/>
                <w:sz w:val="24"/>
                <w:szCs w:val="24"/>
                <w:lang w:eastAsia="ar-SA"/>
              </w:rPr>
            </w:pPr>
            <w:r w:rsidRPr="0040098D">
              <w:rPr>
                <w:rFonts w:ascii="Calibri" w:eastAsia="Calibri" w:hAnsi="Calibri" w:cs="Calibri"/>
                <w:sz w:val="24"/>
                <w:szCs w:val="24"/>
                <w:lang w:eastAsia="ar-SA"/>
              </w:rPr>
              <w:t>Traktors Belarus 320.4</w:t>
            </w:r>
            <w:r>
              <w:rPr>
                <w:rFonts w:ascii="Calibri" w:eastAsia="Calibri" w:hAnsi="Calibri" w:cs="Calibri"/>
                <w:sz w:val="24"/>
                <w:szCs w:val="24"/>
                <w:lang w:eastAsia="ar-SA"/>
              </w:rPr>
              <w:t xml:space="preserve"> ar frontālo iekrāvēju Metal Fach T812 un pļaujmašīnu SaMASZ PIKO 130H</w:t>
            </w:r>
          </w:p>
        </w:tc>
        <w:tc>
          <w:tcPr>
            <w:tcW w:w="1356" w:type="dxa"/>
            <w:vAlign w:val="center"/>
          </w:tcPr>
          <w:p w14:paraId="49CCC479" w14:textId="6A6F1ED5" w:rsidR="00D22ED1" w:rsidRPr="0040098D" w:rsidRDefault="00ED17AA" w:rsidP="00ED17AA">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13 041,32</w:t>
            </w:r>
            <w:r w:rsidR="009F49E4">
              <w:rPr>
                <w:rFonts w:ascii="Calibri" w:eastAsia="Calibri" w:hAnsi="Calibri" w:cs="Calibri"/>
                <w:sz w:val="24"/>
                <w:szCs w:val="24"/>
                <w:lang w:eastAsia="ar-SA"/>
              </w:rPr>
              <w:t xml:space="preserve"> (trīspadsmit tūkstoši četrdesmit viens </w:t>
            </w:r>
            <w:r w:rsidR="009F49E4"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32 centi</w:t>
            </w:r>
            <w:r w:rsidR="009F49E4">
              <w:rPr>
                <w:rFonts w:ascii="Calibri" w:eastAsia="Calibri" w:hAnsi="Calibri" w:cs="Calibri"/>
                <w:sz w:val="24"/>
                <w:szCs w:val="24"/>
                <w:lang w:eastAsia="ar-SA"/>
              </w:rPr>
              <w:t>)</w:t>
            </w:r>
          </w:p>
        </w:tc>
        <w:tc>
          <w:tcPr>
            <w:tcW w:w="2103" w:type="dxa"/>
            <w:vAlign w:val="center"/>
          </w:tcPr>
          <w:p w14:paraId="699B719B" w14:textId="33A45357" w:rsidR="00D22ED1" w:rsidRPr="0040098D" w:rsidRDefault="0083774E" w:rsidP="009F49E4">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1304</w:t>
            </w:r>
            <w:r w:rsidR="0097044A">
              <w:rPr>
                <w:rFonts w:ascii="Calibri" w:eastAsia="Calibri" w:hAnsi="Calibri" w:cs="Calibri"/>
                <w:sz w:val="24"/>
                <w:szCs w:val="24"/>
                <w:lang w:eastAsia="ar-SA"/>
              </w:rPr>
              <w:t>,13</w:t>
            </w:r>
            <w:r w:rsidR="00865A8C">
              <w:rPr>
                <w:rFonts w:ascii="Calibri" w:eastAsia="Calibri" w:hAnsi="Calibri" w:cs="Calibri"/>
                <w:sz w:val="24"/>
                <w:szCs w:val="24"/>
                <w:lang w:eastAsia="ar-SA"/>
              </w:rPr>
              <w:t xml:space="preserve"> (viens tūkstotis trīs simti četri </w:t>
            </w:r>
            <w:r w:rsidR="00865A8C"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13 centi)</w:t>
            </w:r>
          </w:p>
        </w:tc>
        <w:tc>
          <w:tcPr>
            <w:tcW w:w="2835"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872B739" w:rsidR="00D22ED1" w:rsidRDefault="00D56B52"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w:t>
            </w:r>
            <w:r w:rsidR="00933E71">
              <w:rPr>
                <w:rFonts w:ascii="Calibri" w:eastAsia="Calibri" w:hAnsi="Calibri" w:cs="Calibri"/>
                <w:sz w:val="24"/>
                <w:szCs w:val="24"/>
                <w:lang w:eastAsia="ar-SA"/>
              </w:rPr>
              <w:t>5</w:t>
            </w:r>
            <w:r>
              <w:rPr>
                <w:rFonts w:ascii="Calibri" w:eastAsia="Calibri" w:hAnsi="Calibri" w:cs="Calibri"/>
                <w:sz w:val="24"/>
                <w:szCs w:val="24"/>
                <w:lang w:eastAsia="ar-SA"/>
              </w:rPr>
              <w:t>0,00</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5A13338C"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lastRenderedPageBreak/>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 xml:space="preserve">“Belarus”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7BC68AA5"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euro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lastRenderedPageBreak/>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lastRenderedPageBreak/>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49A50739"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A211C0">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EF0618">
        <w:rPr>
          <w:rFonts w:ascii="Calibri" w:eastAsia="Times New Roman" w:hAnsi="Calibri" w:cs="Calibri"/>
          <w:sz w:val="24"/>
          <w:szCs w:val="24"/>
          <w:lang w:eastAsia="lv-LV"/>
        </w:rPr>
        <w:t>19</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lastRenderedPageBreak/>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 xml:space="preserve">izsoles norises laikā, izņemot Noteikumu 5.3. punktā minēto gadījumu vai 24 (divdesmit četru) stundu laikā pēc izsoles noslēguma saņemts elektronisko izsoļu </w:t>
      </w:r>
      <w:r w:rsidRPr="00AA3438">
        <w:rPr>
          <w:rFonts w:ascii="Calibri" w:eastAsia="Times New Roman" w:hAnsi="Calibri" w:cs="Calibri"/>
          <w:color w:val="000000"/>
          <w:sz w:val="24"/>
          <w:szCs w:val="24"/>
          <w:lang w:eastAsia="lv-LV"/>
        </w:rPr>
        <w:lastRenderedPageBreak/>
        <w:t>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78EB" w14:textId="77777777" w:rsidR="002D1BD4" w:rsidRDefault="002D1BD4">
      <w:pPr>
        <w:spacing w:after="0" w:line="240" w:lineRule="auto"/>
      </w:pPr>
      <w:r>
        <w:separator/>
      </w:r>
    </w:p>
  </w:endnote>
  <w:endnote w:type="continuationSeparator" w:id="0">
    <w:p w14:paraId="31B90AFC" w14:textId="77777777" w:rsidR="002D1BD4" w:rsidRDefault="002D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8C459" w14:textId="77777777" w:rsidR="002D1BD4" w:rsidRDefault="002D1BD4">
      <w:pPr>
        <w:spacing w:after="0" w:line="240" w:lineRule="auto"/>
      </w:pPr>
      <w:r>
        <w:separator/>
      </w:r>
    </w:p>
  </w:footnote>
  <w:footnote w:type="continuationSeparator" w:id="0">
    <w:p w14:paraId="47BC36E0" w14:textId="77777777" w:rsidR="002D1BD4" w:rsidRDefault="002D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2126F"/>
    <w:rsid w:val="0003355B"/>
    <w:rsid w:val="00035631"/>
    <w:rsid w:val="00036B60"/>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71235"/>
    <w:rsid w:val="00171A99"/>
    <w:rsid w:val="00171DBB"/>
    <w:rsid w:val="001802F0"/>
    <w:rsid w:val="00184BCD"/>
    <w:rsid w:val="001C6FE0"/>
    <w:rsid w:val="001C7D0D"/>
    <w:rsid w:val="001F4BBB"/>
    <w:rsid w:val="0020171F"/>
    <w:rsid w:val="00205FE7"/>
    <w:rsid w:val="00213E1B"/>
    <w:rsid w:val="00214460"/>
    <w:rsid w:val="002173CB"/>
    <w:rsid w:val="00221921"/>
    <w:rsid w:val="00230353"/>
    <w:rsid w:val="00231375"/>
    <w:rsid w:val="002332F1"/>
    <w:rsid w:val="00243520"/>
    <w:rsid w:val="002453E5"/>
    <w:rsid w:val="00247A6A"/>
    <w:rsid w:val="00260228"/>
    <w:rsid w:val="002625DE"/>
    <w:rsid w:val="00265B29"/>
    <w:rsid w:val="00271CCA"/>
    <w:rsid w:val="002746EC"/>
    <w:rsid w:val="00287D7A"/>
    <w:rsid w:val="002B3036"/>
    <w:rsid w:val="002B788D"/>
    <w:rsid w:val="002C7DBF"/>
    <w:rsid w:val="002D1BD4"/>
    <w:rsid w:val="002F1A07"/>
    <w:rsid w:val="002F6528"/>
    <w:rsid w:val="0030043F"/>
    <w:rsid w:val="003008C9"/>
    <w:rsid w:val="00304A0E"/>
    <w:rsid w:val="0030623F"/>
    <w:rsid w:val="003107AD"/>
    <w:rsid w:val="0031480C"/>
    <w:rsid w:val="00314FB5"/>
    <w:rsid w:val="00331AC2"/>
    <w:rsid w:val="00342EA7"/>
    <w:rsid w:val="003445D6"/>
    <w:rsid w:val="00344F8A"/>
    <w:rsid w:val="00346CD5"/>
    <w:rsid w:val="003629DB"/>
    <w:rsid w:val="00374971"/>
    <w:rsid w:val="003807F9"/>
    <w:rsid w:val="00383AE4"/>
    <w:rsid w:val="00384135"/>
    <w:rsid w:val="00390340"/>
    <w:rsid w:val="003972CE"/>
    <w:rsid w:val="003A3964"/>
    <w:rsid w:val="003A5EA3"/>
    <w:rsid w:val="003A6046"/>
    <w:rsid w:val="003B0F3C"/>
    <w:rsid w:val="003C0BC4"/>
    <w:rsid w:val="003C6C18"/>
    <w:rsid w:val="003E1A69"/>
    <w:rsid w:val="003E2F66"/>
    <w:rsid w:val="003F0554"/>
    <w:rsid w:val="003F1142"/>
    <w:rsid w:val="0040098D"/>
    <w:rsid w:val="00405EA7"/>
    <w:rsid w:val="00406576"/>
    <w:rsid w:val="00407374"/>
    <w:rsid w:val="0041160D"/>
    <w:rsid w:val="00416193"/>
    <w:rsid w:val="0041743E"/>
    <w:rsid w:val="00417A00"/>
    <w:rsid w:val="004219D4"/>
    <w:rsid w:val="00422221"/>
    <w:rsid w:val="00432FCC"/>
    <w:rsid w:val="00434B6E"/>
    <w:rsid w:val="00465DA1"/>
    <w:rsid w:val="00466161"/>
    <w:rsid w:val="00476DFE"/>
    <w:rsid w:val="00477F02"/>
    <w:rsid w:val="0048387F"/>
    <w:rsid w:val="00486A29"/>
    <w:rsid w:val="00497AF6"/>
    <w:rsid w:val="004A2B47"/>
    <w:rsid w:val="004C372F"/>
    <w:rsid w:val="004C5259"/>
    <w:rsid w:val="004E292F"/>
    <w:rsid w:val="004F431C"/>
    <w:rsid w:val="004F68A3"/>
    <w:rsid w:val="0050126C"/>
    <w:rsid w:val="00501773"/>
    <w:rsid w:val="00511996"/>
    <w:rsid w:val="00512404"/>
    <w:rsid w:val="00540E31"/>
    <w:rsid w:val="005453EC"/>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599"/>
    <w:rsid w:val="00711F0D"/>
    <w:rsid w:val="00713AF3"/>
    <w:rsid w:val="0071777B"/>
    <w:rsid w:val="00720C8A"/>
    <w:rsid w:val="00721BD3"/>
    <w:rsid w:val="00723F19"/>
    <w:rsid w:val="0072701C"/>
    <w:rsid w:val="007306D2"/>
    <w:rsid w:val="007327D6"/>
    <w:rsid w:val="00744413"/>
    <w:rsid w:val="007627E3"/>
    <w:rsid w:val="0077008E"/>
    <w:rsid w:val="007720A3"/>
    <w:rsid w:val="007727C1"/>
    <w:rsid w:val="00775470"/>
    <w:rsid w:val="00777368"/>
    <w:rsid w:val="00777A9F"/>
    <w:rsid w:val="007A101F"/>
    <w:rsid w:val="007A27EC"/>
    <w:rsid w:val="007A2A90"/>
    <w:rsid w:val="007A5DCC"/>
    <w:rsid w:val="007B4737"/>
    <w:rsid w:val="007B72BF"/>
    <w:rsid w:val="007C09A8"/>
    <w:rsid w:val="007C1D86"/>
    <w:rsid w:val="007C3212"/>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63C6"/>
    <w:rsid w:val="0086086D"/>
    <w:rsid w:val="00861868"/>
    <w:rsid w:val="00865A8C"/>
    <w:rsid w:val="00867281"/>
    <w:rsid w:val="00874077"/>
    <w:rsid w:val="00874A31"/>
    <w:rsid w:val="00876933"/>
    <w:rsid w:val="00877029"/>
    <w:rsid w:val="0087733D"/>
    <w:rsid w:val="008819F6"/>
    <w:rsid w:val="0088210B"/>
    <w:rsid w:val="00882318"/>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A3B"/>
    <w:rsid w:val="00900748"/>
    <w:rsid w:val="00900B44"/>
    <w:rsid w:val="009102EE"/>
    <w:rsid w:val="009155B9"/>
    <w:rsid w:val="009260F8"/>
    <w:rsid w:val="00927C28"/>
    <w:rsid w:val="0093075A"/>
    <w:rsid w:val="00933E71"/>
    <w:rsid w:val="00935213"/>
    <w:rsid w:val="00943F61"/>
    <w:rsid w:val="00946619"/>
    <w:rsid w:val="00954D55"/>
    <w:rsid w:val="00957C89"/>
    <w:rsid w:val="0097044A"/>
    <w:rsid w:val="009721CD"/>
    <w:rsid w:val="00975407"/>
    <w:rsid w:val="00975BAA"/>
    <w:rsid w:val="00975F3F"/>
    <w:rsid w:val="009909E5"/>
    <w:rsid w:val="00992A7B"/>
    <w:rsid w:val="00992BCD"/>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211C0"/>
    <w:rsid w:val="00A23554"/>
    <w:rsid w:val="00A24A0F"/>
    <w:rsid w:val="00A3309F"/>
    <w:rsid w:val="00A36550"/>
    <w:rsid w:val="00A46E4A"/>
    <w:rsid w:val="00A5193B"/>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744DA"/>
    <w:rsid w:val="00D84569"/>
    <w:rsid w:val="00D876D4"/>
    <w:rsid w:val="00D91435"/>
    <w:rsid w:val="00D97C12"/>
    <w:rsid w:val="00DA40DE"/>
    <w:rsid w:val="00DA6434"/>
    <w:rsid w:val="00DA730D"/>
    <w:rsid w:val="00DB0317"/>
    <w:rsid w:val="00DB44F9"/>
    <w:rsid w:val="00DC46EC"/>
    <w:rsid w:val="00DC5BEF"/>
    <w:rsid w:val="00DC5FB2"/>
    <w:rsid w:val="00DE604C"/>
    <w:rsid w:val="00DF6EC1"/>
    <w:rsid w:val="00E07403"/>
    <w:rsid w:val="00E11124"/>
    <w:rsid w:val="00E21B0A"/>
    <w:rsid w:val="00E26E6B"/>
    <w:rsid w:val="00E57BAC"/>
    <w:rsid w:val="00E6262F"/>
    <w:rsid w:val="00E66637"/>
    <w:rsid w:val="00E7627F"/>
    <w:rsid w:val="00E873DE"/>
    <w:rsid w:val="00E92738"/>
    <w:rsid w:val="00EA01AB"/>
    <w:rsid w:val="00EA28D1"/>
    <w:rsid w:val="00EA5938"/>
    <w:rsid w:val="00EB1F0B"/>
    <w:rsid w:val="00EC6AB5"/>
    <w:rsid w:val="00ED17AA"/>
    <w:rsid w:val="00EE6D41"/>
    <w:rsid w:val="00EF0618"/>
    <w:rsid w:val="00F15629"/>
    <w:rsid w:val="00F24D47"/>
    <w:rsid w:val="00F340A2"/>
    <w:rsid w:val="00F3764A"/>
    <w:rsid w:val="00F42E1A"/>
    <w:rsid w:val="00F44143"/>
    <w:rsid w:val="00F508D1"/>
    <w:rsid w:val="00F56EAA"/>
    <w:rsid w:val="00F704C0"/>
    <w:rsid w:val="00F769D9"/>
    <w:rsid w:val="00F83CEE"/>
    <w:rsid w:val="00FA4614"/>
    <w:rsid w:val="00FA5D89"/>
    <w:rsid w:val="00FA707B"/>
    <w:rsid w:val="00FB2052"/>
    <w:rsid w:val="00FB6DB3"/>
    <w:rsid w:val="00FC0203"/>
    <w:rsid w:val="00FC3B34"/>
    <w:rsid w:val="00FC6FC8"/>
    <w:rsid w:val="00FC7688"/>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10293</Words>
  <Characters>5868</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8</cp:revision>
  <dcterms:created xsi:type="dcterms:W3CDTF">2025-10-10T09:56:00Z</dcterms:created>
  <dcterms:modified xsi:type="dcterms:W3CDTF">2025-10-13T06:36:00Z</dcterms:modified>
</cp:coreProperties>
</file>